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D7C52" w14:textId="77777777" w:rsidR="00FF73E0" w:rsidRDefault="00FF73E0" w:rsidP="00C91D33">
      <w:pPr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________________</w:t>
      </w:r>
    </w:p>
    <w:p w14:paraId="1CC9B3E8" w14:textId="77777777" w:rsidR="00FF73E0" w:rsidRDefault="00FF73E0" w:rsidP="00C91D33">
      <w:pPr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55377128" w14:textId="77777777" w:rsidR="00FF73E0" w:rsidRDefault="00FF73E0" w:rsidP="00C91D33">
      <w:pPr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________________</w:t>
      </w:r>
    </w:p>
    <w:p w14:paraId="4FA41F44" w14:textId="77777777" w:rsidR="00FF73E0" w:rsidRDefault="00FF73E0" w:rsidP="00C91D33">
      <w:pPr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31BB9F2B" w14:textId="77777777" w:rsidR="00FF73E0" w:rsidRDefault="00FF73E0" w:rsidP="00C91D33">
      <w:pPr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0A1DCD0" w14:textId="117E78E6" w:rsidR="00575995" w:rsidRPr="00C91D33" w:rsidRDefault="00FF73E0" w:rsidP="00C91D33">
      <w:pPr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________________</w:t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  <w:r w:rsidR="00575995" w:rsidRPr="00C91D33">
        <w:rPr>
          <w:rFonts w:ascii="Arial" w:hAnsi="Arial" w:cs="Arial"/>
          <w:b/>
          <w:bCs/>
          <w:i/>
          <w:sz w:val="24"/>
          <w:szCs w:val="24"/>
        </w:rPr>
        <w:tab/>
      </w:r>
    </w:p>
    <w:p w14:paraId="7CA0C8B6" w14:textId="77777777" w:rsidR="00575995" w:rsidRPr="00C91D33" w:rsidRDefault="00575995" w:rsidP="00C91D33">
      <w:pPr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3F40F450" w14:textId="77777777" w:rsidR="00575995" w:rsidRPr="00C91D33" w:rsidRDefault="00575995" w:rsidP="00C91D33">
      <w:pPr>
        <w:spacing w:line="276" w:lineRule="auto"/>
        <w:rPr>
          <w:rFonts w:ascii="Arial" w:hAnsi="Arial" w:cs="Arial"/>
          <w:b/>
          <w:bCs/>
          <w:i/>
          <w:sz w:val="24"/>
          <w:szCs w:val="24"/>
          <w:lang w:val="it-IT"/>
        </w:rPr>
      </w:pPr>
    </w:p>
    <w:p w14:paraId="39E98731" w14:textId="3BF0BFF5" w:rsidR="00575995" w:rsidRDefault="00575995" w:rsidP="00C91D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0100E2" w14:textId="77777777" w:rsidR="00FF73E0" w:rsidRPr="00C91D33" w:rsidRDefault="00FF73E0" w:rsidP="00C91D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F42C61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>An das</w:t>
      </w:r>
    </w:p>
    <w:p w14:paraId="08576D51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 xml:space="preserve">Landesamt für Besoldung und Versorgung </w:t>
      </w:r>
    </w:p>
    <w:p w14:paraId="1D097B5E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>Nordrhein-Westfalen</w:t>
      </w:r>
    </w:p>
    <w:p w14:paraId="0FCE8ECE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>40192 Düsseldorf</w:t>
      </w:r>
    </w:p>
    <w:p w14:paraId="02493D85" w14:textId="77777777" w:rsidR="00575995" w:rsidRPr="00C91D33" w:rsidRDefault="00575995" w:rsidP="00C91D33">
      <w:pPr>
        <w:spacing w:line="276" w:lineRule="auto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b/>
          <w:sz w:val="24"/>
          <w:szCs w:val="24"/>
        </w:rPr>
        <w:t>Einschreiben/Rückschein - Zustellungsurkunde</w:t>
      </w:r>
    </w:p>
    <w:p w14:paraId="4EC9D222" w14:textId="77777777" w:rsidR="00575995" w:rsidRPr="00C91D33" w:rsidRDefault="00575995" w:rsidP="00C91D33">
      <w:pPr>
        <w:spacing w:line="276" w:lineRule="auto"/>
        <w:rPr>
          <w:rFonts w:ascii="Arial" w:hAnsi="Arial" w:cs="Arial"/>
          <w:sz w:val="24"/>
          <w:szCs w:val="24"/>
        </w:rPr>
      </w:pPr>
    </w:p>
    <w:p w14:paraId="2F8F52BF" w14:textId="77777777" w:rsidR="00575995" w:rsidRPr="00C91D33" w:rsidRDefault="00575995" w:rsidP="00C91D33">
      <w:pPr>
        <w:spacing w:line="276" w:lineRule="auto"/>
        <w:rPr>
          <w:rFonts w:ascii="Arial" w:hAnsi="Arial" w:cs="Arial"/>
          <w:sz w:val="24"/>
          <w:szCs w:val="24"/>
        </w:rPr>
      </w:pPr>
    </w:p>
    <w:p w14:paraId="2866458D" w14:textId="4DE74864" w:rsidR="00575995" w:rsidRPr="00C91D33" w:rsidRDefault="00575995" w:rsidP="00C91D33">
      <w:pPr>
        <w:spacing w:line="276" w:lineRule="auto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ab/>
      </w:r>
      <w:r w:rsidRPr="00C91D33">
        <w:rPr>
          <w:rFonts w:ascii="Arial" w:hAnsi="Arial" w:cs="Arial"/>
          <w:sz w:val="24"/>
          <w:szCs w:val="24"/>
        </w:rPr>
        <w:tab/>
      </w:r>
      <w:r w:rsidRPr="00C91D33">
        <w:rPr>
          <w:rFonts w:ascii="Arial" w:hAnsi="Arial" w:cs="Arial"/>
          <w:sz w:val="24"/>
          <w:szCs w:val="24"/>
        </w:rPr>
        <w:tab/>
      </w:r>
      <w:r w:rsidRPr="00C91D33">
        <w:rPr>
          <w:rFonts w:ascii="Arial" w:hAnsi="Arial" w:cs="Arial"/>
          <w:sz w:val="24"/>
          <w:szCs w:val="24"/>
        </w:rPr>
        <w:tab/>
      </w:r>
      <w:r w:rsidRPr="00C91D33">
        <w:rPr>
          <w:rFonts w:ascii="Arial" w:hAnsi="Arial" w:cs="Arial"/>
          <w:sz w:val="24"/>
          <w:szCs w:val="24"/>
        </w:rPr>
        <w:tab/>
      </w:r>
      <w:r w:rsidRPr="00C91D33">
        <w:rPr>
          <w:rFonts w:ascii="Arial" w:hAnsi="Arial" w:cs="Arial"/>
          <w:sz w:val="24"/>
          <w:szCs w:val="24"/>
        </w:rPr>
        <w:tab/>
      </w:r>
      <w:r w:rsidRPr="00C91D33">
        <w:rPr>
          <w:rFonts w:ascii="Arial" w:hAnsi="Arial" w:cs="Arial"/>
          <w:sz w:val="24"/>
          <w:szCs w:val="24"/>
        </w:rPr>
        <w:tab/>
      </w:r>
      <w:r w:rsidRPr="00C91D33">
        <w:rPr>
          <w:rFonts w:ascii="Arial" w:hAnsi="Arial" w:cs="Arial"/>
          <w:sz w:val="24"/>
          <w:szCs w:val="24"/>
        </w:rPr>
        <w:tab/>
      </w:r>
      <w:r w:rsidRPr="00C91D33">
        <w:rPr>
          <w:rFonts w:ascii="Arial" w:hAnsi="Arial" w:cs="Arial"/>
          <w:sz w:val="24"/>
          <w:szCs w:val="24"/>
        </w:rPr>
        <w:tab/>
      </w:r>
      <w:r w:rsidR="00FF73E0">
        <w:rPr>
          <w:rFonts w:ascii="Arial" w:hAnsi="Arial" w:cs="Arial"/>
          <w:sz w:val="24"/>
          <w:szCs w:val="24"/>
        </w:rPr>
        <w:t>--------------------</w:t>
      </w:r>
      <w:r w:rsidR="00527EB7">
        <w:rPr>
          <w:rFonts w:ascii="Arial" w:hAnsi="Arial" w:cs="Arial"/>
          <w:sz w:val="24"/>
          <w:szCs w:val="24"/>
        </w:rPr>
        <w:t>,</w:t>
      </w:r>
      <w:r w:rsidRPr="00C91D33">
        <w:rPr>
          <w:rFonts w:ascii="Arial" w:hAnsi="Arial" w:cs="Arial"/>
          <w:sz w:val="24"/>
          <w:szCs w:val="24"/>
        </w:rPr>
        <w:t xml:space="preserve"> </w:t>
      </w:r>
      <w:r w:rsidR="00FF73E0">
        <w:rPr>
          <w:rFonts w:ascii="Arial" w:hAnsi="Arial" w:cs="Arial"/>
          <w:sz w:val="24"/>
          <w:szCs w:val="24"/>
        </w:rPr>
        <w:t>---------------------</w:t>
      </w:r>
    </w:p>
    <w:p w14:paraId="7686F5BB" w14:textId="49779A39" w:rsidR="00575995" w:rsidRPr="00C91D33" w:rsidRDefault="00FF73E0" w:rsidP="00C91D3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</w:t>
      </w:r>
    </w:p>
    <w:p w14:paraId="328DFA06" w14:textId="77777777" w:rsidR="00122C8B" w:rsidRDefault="00575995" w:rsidP="00C91D3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91D33">
        <w:rPr>
          <w:rFonts w:ascii="Arial" w:hAnsi="Arial" w:cs="Arial"/>
          <w:b/>
          <w:sz w:val="24"/>
          <w:szCs w:val="24"/>
        </w:rPr>
        <w:t xml:space="preserve">Personal-Nr.: </w:t>
      </w:r>
    </w:p>
    <w:p w14:paraId="0BBD9206" w14:textId="4FF68FCC" w:rsidR="00575995" w:rsidRPr="00C91D33" w:rsidRDefault="00575995" w:rsidP="00C91D33">
      <w:pPr>
        <w:spacing w:line="276" w:lineRule="auto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b/>
          <w:bCs/>
          <w:sz w:val="24"/>
          <w:szCs w:val="24"/>
        </w:rPr>
        <w:t xml:space="preserve">Widerspruch </w:t>
      </w:r>
      <w:r w:rsidR="00122C8B">
        <w:rPr>
          <w:rFonts w:ascii="Arial" w:hAnsi="Arial" w:cs="Arial"/>
          <w:b/>
          <w:bCs/>
          <w:sz w:val="24"/>
          <w:szCs w:val="24"/>
        </w:rPr>
        <w:t>gegen die Besoldung im Jahr 202</w:t>
      </w:r>
      <w:r w:rsidR="00FF73E0">
        <w:rPr>
          <w:rFonts w:ascii="Arial" w:hAnsi="Arial" w:cs="Arial"/>
          <w:b/>
          <w:bCs/>
          <w:sz w:val="24"/>
          <w:szCs w:val="24"/>
        </w:rPr>
        <w:t>1</w:t>
      </w:r>
      <w:r w:rsidRPr="00C91D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979B7E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34E3CE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>Sehr geehrte Damen und Herren,</w:t>
      </w:r>
    </w:p>
    <w:p w14:paraId="4113FDB3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F89EC6" w14:textId="70B1378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>gegen die Höhe mein</w:t>
      </w:r>
      <w:r w:rsidR="00122C8B">
        <w:rPr>
          <w:rFonts w:ascii="Arial" w:hAnsi="Arial" w:cs="Arial"/>
          <w:sz w:val="24"/>
          <w:szCs w:val="24"/>
        </w:rPr>
        <w:t>er Dienstbezüge für das Jahr 202</w:t>
      </w:r>
      <w:r w:rsidR="00FF73E0">
        <w:rPr>
          <w:rFonts w:ascii="Arial" w:hAnsi="Arial" w:cs="Arial"/>
          <w:sz w:val="24"/>
          <w:szCs w:val="24"/>
        </w:rPr>
        <w:t>1</w:t>
      </w:r>
      <w:r w:rsidRPr="00C91D33">
        <w:rPr>
          <w:rFonts w:ascii="Arial" w:hAnsi="Arial" w:cs="Arial"/>
          <w:sz w:val="24"/>
          <w:szCs w:val="24"/>
        </w:rPr>
        <w:t xml:space="preserve"> </w:t>
      </w:r>
      <w:r w:rsidR="00C91D33" w:rsidRPr="00C91D33">
        <w:rPr>
          <w:rFonts w:ascii="Arial" w:hAnsi="Arial" w:cs="Arial"/>
          <w:sz w:val="24"/>
          <w:szCs w:val="24"/>
        </w:rPr>
        <w:t xml:space="preserve">lege ich </w:t>
      </w:r>
      <w:r w:rsidR="0075079F">
        <w:rPr>
          <w:rFonts w:ascii="Arial" w:hAnsi="Arial" w:cs="Arial"/>
          <w:sz w:val="24"/>
          <w:szCs w:val="24"/>
        </w:rPr>
        <w:t>vorsorglich</w:t>
      </w:r>
    </w:p>
    <w:p w14:paraId="7AEFEBEA" w14:textId="77777777" w:rsidR="00575995" w:rsidRPr="00C91D33" w:rsidRDefault="00575995" w:rsidP="00C91D33">
      <w:pPr>
        <w:tabs>
          <w:tab w:val="left" w:pos="2650"/>
        </w:tabs>
        <w:spacing w:line="276" w:lineRule="auto"/>
        <w:jc w:val="both"/>
        <w:rPr>
          <w:rFonts w:ascii="Arial" w:hAnsi="Arial" w:cs="Arial"/>
          <w:b/>
          <w:bCs/>
          <w:spacing w:val="60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ab/>
      </w:r>
    </w:p>
    <w:p w14:paraId="613A75FA" w14:textId="77777777" w:rsidR="00575995" w:rsidRPr="00C91D33" w:rsidRDefault="00575995" w:rsidP="00C91D33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b/>
          <w:bCs/>
          <w:spacing w:val="60"/>
          <w:sz w:val="24"/>
          <w:szCs w:val="24"/>
        </w:rPr>
        <w:t>Widerspruch</w:t>
      </w:r>
    </w:p>
    <w:p w14:paraId="1ACCEF55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065EDA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 xml:space="preserve">ein und beantrage, </w:t>
      </w:r>
    </w:p>
    <w:p w14:paraId="6671BC44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506C33" w14:textId="5989797A" w:rsidR="00575995" w:rsidRPr="00C91D33" w:rsidRDefault="00575995" w:rsidP="00C91D33">
      <w:pPr>
        <w:spacing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>mi</w:t>
      </w:r>
      <w:r w:rsidR="00122C8B">
        <w:rPr>
          <w:rFonts w:ascii="Arial" w:hAnsi="Arial" w:cs="Arial"/>
          <w:sz w:val="24"/>
          <w:szCs w:val="24"/>
        </w:rPr>
        <w:t>ch rückwirkend zum 1. Januar 202</w:t>
      </w:r>
      <w:r w:rsidR="006F5F37">
        <w:rPr>
          <w:rFonts w:ascii="Arial" w:hAnsi="Arial" w:cs="Arial"/>
          <w:sz w:val="24"/>
          <w:szCs w:val="24"/>
        </w:rPr>
        <w:t>1</w:t>
      </w:r>
      <w:r w:rsidRPr="00C91D33">
        <w:rPr>
          <w:rFonts w:ascii="Arial" w:hAnsi="Arial" w:cs="Arial"/>
          <w:sz w:val="24"/>
          <w:szCs w:val="24"/>
        </w:rPr>
        <w:t xml:space="preserve"> amtsangemessen zu alimentieren, </w:t>
      </w:r>
    </w:p>
    <w:p w14:paraId="0C539ECC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FFA969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 xml:space="preserve">ferner,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826"/>
      </w:tblGrid>
      <w:tr w:rsidR="00575995" w:rsidRPr="00C91D33" w14:paraId="28E6C25A" w14:textId="77777777">
        <w:tc>
          <w:tcPr>
            <w:tcW w:w="1384" w:type="dxa"/>
            <w:shd w:val="clear" w:color="auto" w:fill="auto"/>
            <w:vAlign w:val="center"/>
          </w:tcPr>
          <w:p w14:paraId="31130EEA" w14:textId="77777777" w:rsidR="00575995" w:rsidRPr="00C91D33" w:rsidRDefault="00575995" w:rsidP="00C91D3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33004E5" w14:textId="77777777" w:rsidR="00575995" w:rsidRPr="00C91D33" w:rsidRDefault="00575995" w:rsidP="00C91D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24388F86" w14:textId="77777777" w:rsidR="00575995" w:rsidRPr="00C91D33" w:rsidRDefault="00575995" w:rsidP="00C91D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91D33">
              <w:rPr>
                <w:rFonts w:ascii="Arial" w:hAnsi="Arial" w:cs="Arial"/>
                <w:sz w:val="24"/>
                <w:szCs w:val="24"/>
              </w:rPr>
              <w:t>das Ruhen des Widerspruchsverfahrens.</w:t>
            </w:r>
          </w:p>
        </w:tc>
      </w:tr>
    </w:tbl>
    <w:p w14:paraId="37BAB2CA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69BCC9" w14:textId="77777777" w:rsidR="00575995" w:rsidRPr="00C91D33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7C36D9" w14:textId="77777777" w:rsidR="00575995" w:rsidRPr="00C91D33" w:rsidRDefault="00575995" w:rsidP="00C91D33">
      <w:pPr>
        <w:spacing w:line="276" w:lineRule="auto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b/>
          <w:sz w:val="24"/>
          <w:szCs w:val="24"/>
        </w:rPr>
        <w:t>Begründung:</w:t>
      </w:r>
    </w:p>
    <w:p w14:paraId="0F50F5C8" w14:textId="77777777" w:rsidR="00575995" w:rsidRDefault="00575995" w:rsidP="00C91D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F1B00E" w14:textId="77777777" w:rsidR="004A02A5" w:rsidRDefault="004A02A5" w:rsidP="004A02A5">
      <w:pPr>
        <w:spacing w:line="276" w:lineRule="auto"/>
        <w:jc w:val="both"/>
      </w:pPr>
      <w:r w:rsidRPr="00C91D33">
        <w:rPr>
          <w:rFonts w:ascii="Arial" w:hAnsi="Arial" w:cs="Arial"/>
          <w:sz w:val="24"/>
          <w:szCs w:val="24"/>
        </w:rPr>
        <w:t>In seiner Entscheidung vom 5. Mai 2015 (2 BvL 17/09 u.a., BGBl. I 2015, 728) hat das Bundesverfassungsgericht Grundsätze für die Prüfung einer Unteralimentation aufgestellt. Zugleich hat das Gericht entschieden, dass die Besoldung im Land Nordrhein-Westfalen im Jahr 2003 die Grenze zur verfassungswidrigen Unteralimentation nicht unterschritten hatte. Daraus ergibt sich indes nicht automatisch, dass die Besoldung des Jahres 201</w:t>
      </w:r>
      <w:r w:rsidR="009143E5">
        <w:rPr>
          <w:rFonts w:ascii="Arial" w:hAnsi="Arial" w:cs="Arial"/>
          <w:sz w:val="24"/>
          <w:szCs w:val="24"/>
        </w:rPr>
        <w:t>9</w:t>
      </w:r>
      <w:r w:rsidRPr="00C91D33">
        <w:rPr>
          <w:rFonts w:ascii="Arial" w:hAnsi="Arial" w:cs="Arial"/>
          <w:sz w:val="24"/>
          <w:szCs w:val="24"/>
        </w:rPr>
        <w:t xml:space="preserve"> verfassungsge</w:t>
      </w:r>
      <w:r>
        <w:rPr>
          <w:rFonts w:ascii="Arial" w:hAnsi="Arial" w:cs="Arial"/>
          <w:sz w:val="24"/>
          <w:szCs w:val="24"/>
        </w:rPr>
        <w:t>mäß ist</w:t>
      </w:r>
      <w:r w:rsidR="00D168B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dies gilt auch für die Versorgungsbezüge.</w:t>
      </w:r>
    </w:p>
    <w:p w14:paraId="65FBDDFA" w14:textId="77777777" w:rsidR="004A02A5" w:rsidRPr="00C91D33" w:rsidRDefault="00527EB7" w:rsidP="00130339">
      <w:pPr>
        <w:pStyle w:val="StandardWeb"/>
        <w:spacing w:line="276" w:lineRule="auto"/>
        <w:rPr>
          <w:rFonts w:ascii="Arial" w:hAnsi="Arial" w:cs="Arial"/>
        </w:rPr>
      </w:pPr>
      <w:r>
        <w:rPr>
          <w:rStyle w:val="Fett"/>
          <w:rFonts w:ascii="Arial" w:hAnsi="Arial" w:cs="Arial"/>
          <w:b w:val="0"/>
        </w:rPr>
        <w:lastRenderedPageBreak/>
        <w:t xml:space="preserve">Die im Nachgang der Besoldungsrunde 2019 erfolgte wirkungsgleiche Übertragung der Einigung </w:t>
      </w:r>
      <w:r w:rsidRPr="00C91D33">
        <w:rPr>
          <w:rStyle w:val="Fett"/>
          <w:rFonts w:ascii="Arial" w:hAnsi="Arial" w:cs="Arial"/>
          <w:b w:val="0"/>
        </w:rPr>
        <w:t xml:space="preserve">mit den Tarifbeschäftigten über die Erhöhung der Dienstbezüge </w:t>
      </w:r>
      <w:r w:rsidR="004A02A5" w:rsidRPr="00C91D33">
        <w:rPr>
          <w:rStyle w:val="Fett"/>
          <w:rFonts w:ascii="Arial" w:hAnsi="Arial" w:cs="Arial"/>
          <w:b w:val="0"/>
        </w:rPr>
        <w:t xml:space="preserve">auf </w:t>
      </w:r>
      <w:r w:rsidR="00122C8B">
        <w:rPr>
          <w:rStyle w:val="Fett"/>
          <w:rFonts w:ascii="Arial" w:hAnsi="Arial" w:cs="Arial"/>
          <w:b w:val="0"/>
        </w:rPr>
        <w:t>Beamte</w:t>
      </w:r>
      <w:r w:rsidR="004A02A5" w:rsidRPr="00C91D33">
        <w:rPr>
          <w:rStyle w:val="Fett"/>
          <w:rFonts w:ascii="Arial" w:hAnsi="Arial" w:cs="Arial"/>
          <w:b w:val="0"/>
        </w:rPr>
        <w:t xml:space="preserve"> </w:t>
      </w:r>
      <w:r>
        <w:rPr>
          <w:rStyle w:val="Fett"/>
          <w:rFonts w:ascii="Arial" w:hAnsi="Arial" w:cs="Arial"/>
          <w:b w:val="0"/>
        </w:rPr>
        <w:t xml:space="preserve">ist zu begrüßen, reicht aber </w:t>
      </w:r>
      <w:r w:rsidR="00130339">
        <w:rPr>
          <w:rStyle w:val="Fett"/>
          <w:rFonts w:ascii="Arial" w:hAnsi="Arial" w:cs="Arial"/>
          <w:b w:val="0"/>
        </w:rPr>
        <w:t xml:space="preserve">allein zur Amtsangemessenheit der Bezüge nicht aus. Insbesondere ist </w:t>
      </w:r>
      <w:r w:rsidR="00122C8B">
        <w:rPr>
          <w:rStyle w:val="Fett"/>
          <w:rFonts w:ascii="Arial" w:hAnsi="Arial" w:cs="Arial"/>
          <w:b w:val="0"/>
        </w:rPr>
        <w:t>zu erwähnen</w:t>
      </w:r>
      <w:r w:rsidR="00130339">
        <w:rPr>
          <w:rStyle w:val="Fett"/>
          <w:rFonts w:ascii="Arial" w:hAnsi="Arial" w:cs="Arial"/>
          <w:b w:val="0"/>
        </w:rPr>
        <w:t xml:space="preserve">, dass die Einkommensentwicklung </w:t>
      </w:r>
      <w:r>
        <w:rPr>
          <w:rStyle w:val="Fett"/>
          <w:rFonts w:ascii="Arial" w:hAnsi="Arial" w:cs="Arial"/>
          <w:b w:val="0"/>
        </w:rPr>
        <w:t xml:space="preserve">weiterhin </w:t>
      </w:r>
      <w:r w:rsidR="00130339">
        <w:rPr>
          <w:rStyle w:val="Fett"/>
          <w:rFonts w:ascii="Arial" w:hAnsi="Arial" w:cs="Arial"/>
          <w:b w:val="0"/>
        </w:rPr>
        <w:t xml:space="preserve">nicht </w:t>
      </w:r>
      <w:r w:rsidR="00484CC8">
        <w:rPr>
          <w:rStyle w:val="Fett"/>
          <w:rFonts w:ascii="Arial" w:hAnsi="Arial" w:cs="Arial"/>
          <w:b w:val="0"/>
        </w:rPr>
        <w:t>im verfassungsrechtlich gebotenen</w:t>
      </w:r>
      <w:r>
        <w:rPr>
          <w:rStyle w:val="Fett"/>
          <w:rFonts w:ascii="Arial" w:hAnsi="Arial" w:cs="Arial"/>
          <w:b w:val="0"/>
        </w:rPr>
        <w:t xml:space="preserve"> Umfang</w:t>
      </w:r>
      <w:r w:rsidR="00130339">
        <w:rPr>
          <w:rStyle w:val="Fett"/>
          <w:rFonts w:ascii="Arial" w:hAnsi="Arial" w:cs="Arial"/>
          <w:b w:val="0"/>
        </w:rPr>
        <w:t xml:space="preserve"> Rechnung getragen</w:t>
      </w:r>
      <w:r w:rsidR="00122C8B">
        <w:rPr>
          <w:rStyle w:val="Fett"/>
          <w:rFonts w:ascii="Arial" w:hAnsi="Arial" w:cs="Arial"/>
          <w:b w:val="0"/>
        </w:rPr>
        <w:t xml:space="preserve"> wurde</w:t>
      </w:r>
      <w:r w:rsidR="00130339">
        <w:rPr>
          <w:rStyle w:val="Fett"/>
          <w:rFonts w:ascii="Arial" w:hAnsi="Arial" w:cs="Arial"/>
          <w:b w:val="0"/>
        </w:rPr>
        <w:t>.</w:t>
      </w:r>
      <w:r w:rsidR="007E7E4D">
        <w:rPr>
          <w:rStyle w:val="Fett"/>
          <w:rFonts w:ascii="Arial" w:hAnsi="Arial" w:cs="Arial"/>
          <w:b w:val="0"/>
        </w:rPr>
        <w:t xml:space="preserve"> </w:t>
      </w:r>
    </w:p>
    <w:p w14:paraId="0A7FB84F" w14:textId="000A4234" w:rsidR="004A02A5" w:rsidRPr="00C91D33" w:rsidRDefault="00130339" w:rsidP="004A02A5">
      <w:pPr>
        <w:pStyle w:val="Standard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Zweifel an der Verfassungsmäßigkeit der Besoldung </w:t>
      </w:r>
      <w:r w:rsidR="00122C8B">
        <w:rPr>
          <w:rFonts w:ascii="Arial" w:hAnsi="Arial" w:cs="Arial"/>
        </w:rPr>
        <w:t>b</w:t>
      </w:r>
      <w:r w:rsidR="00B62906">
        <w:rPr>
          <w:rFonts w:ascii="Arial" w:hAnsi="Arial" w:cs="Arial"/>
        </w:rPr>
        <w:t>estehen dementsprechend für 2021</w:t>
      </w:r>
      <w:r>
        <w:rPr>
          <w:rFonts w:ascii="Arial" w:hAnsi="Arial" w:cs="Arial"/>
        </w:rPr>
        <w:t xml:space="preserve"> ungeachtet dessen fort, dass</w:t>
      </w:r>
      <w:r w:rsidR="004A02A5">
        <w:rPr>
          <w:rFonts w:ascii="Arial" w:hAnsi="Arial" w:cs="Arial"/>
        </w:rPr>
        <w:t xml:space="preserve"> nach der Entscheidung des Bundesverfassungsgerichts auch einige klageabweisende Entscheidungen </w:t>
      </w:r>
      <w:r>
        <w:rPr>
          <w:rFonts w:ascii="Arial" w:hAnsi="Arial" w:cs="Arial"/>
        </w:rPr>
        <w:t xml:space="preserve">der Verwaltungsgerichte und des OVG NRW </w:t>
      </w:r>
      <w:r w:rsidR="004A02A5">
        <w:rPr>
          <w:rFonts w:ascii="Arial" w:hAnsi="Arial" w:cs="Arial"/>
        </w:rPr>
        <w:t>für die Vorjahre ergangen</w:t>
      </w:r>
      <w:r>
        <w:rPr>
          <w:rFonts w:ascii="Arial" w:hAnsi="Arial" w:cs="Arial"/>
        </w:rPr>
        <w:t xml:space="preserve"> sind</w:t>
      </w:r>
      <w:r w:rsidR="004A02A5">
        <w:rPr>
          <w:rFonts w:ascii="Arial" w:hAnsi="Arial" w:cs="Arial"/>
        </w:rPr>
        <w:t>. Einige Verfahren vor den Verwaltungsgerichten sind jedoch noch offen</w:t>
      </w:r>
      <w:r w:rsidR="00527EB7">
        <w:rPr>
          <w:rFonts w:ascii="Arial" w:hAnsi="Arial" w:cs="Arial"/>
        </w:rPr>
        <w:t xml:space="preserve"> und ruhen</w:t>
      </w:r>
      <w:r w:rsidR="009143E5">
        <w:rPr>
          <w:rFonts w:ascii="Arial" w:hAnsi="Arial" w:cs="Arial"/>
        </w:rPr>
        <w:t>d</w:t>
      </w:r>
      <w:r w:rsidR="00527EB7">
        <w:rPr>
          <w:rFonts w:ascii="Arial" w:hAnsi="Arial" w:cs="Arial"/>
        </w:rPr>
        <w:t xml:space="preserve"> gestellt. Darüber hinaus sind beim Bundesverfassungsgericht aktuell weitere Verfahren – wenn auch die Besoldung anderer Bundesländer betreffend - offen</w:t>
      </w:r>
      <w:r w:rsidR="004A02A5">
        <w:rPr>
          <w:rFonts w:ascii="Arial" w:hAnsi="Arial" w:cs="Arial"/>
        </w:rPr>
        <w:t xml:space="preserve">. </w:t>
      </w:r>
      <w:r w:rsidR="00527EB7">
        <w:rPr>
          <w:rFonts w:ascii="Arial" w:hAnsi="Arial" w:cs="Arial"/>
        </w:rPr>
        <w:t xml:space="preserve">Es besteht </w:t>
      </w:r>
      <w:r w:rsidR="009143E5">
        <w:rPr>
          <w:rFonts w:ascii="Arial" w:hAnsi="Arial" w:cs="Arial"/>
        </w:rPr>
        <w:t>damit</w:t>
      </w:r>
      <w:r w:rsidR="00527EB7">
        <w:rPr>
          <w:rFonts w:ascii="Arial" w:hAnsi="Arial" w:cs="Arial"/>
        </w:rPr>
        <w:t xml:space="preserve"> die Möglichkeit, dass sich aus den Entscheidungen der Bundesverfassungsgerichts Erkenntnisse ergeben, die auch Rückschlüsse auf die Verfassungsmäßigkeit der Besoldung im Land Nordrhein-Westfalen zulassen könnten. </w:t>
      </w:r>
      <w:r w:rsidR="004A02A5" w:rsidRPr="00C91D33">
        <w:rPr>
          <w:rFonts w:ascii="Arial" w:hAnsi="Arial" w:cs="Arial"/>
        </w:rPr>
        <w:t xml:space="preserve">Aus den vorstehenden Gründen ist es erforderlich, zur Rechtswahrung Widerspruch gegen die </w:t>
      </w:r>
      <w:r w:rsidR="00685BA9">
        <w:rPr>
          <w:rFonts w:ascii="Arial" w:hAnsi="Arial" w:cs="Arial"/>
        </w:rPr>
        <w:t>Besoldung</w:t>
      </w:r>
      <w:r w:rsidR="00B62906">
        <w:rPr>
          <w:rFonts w:ascii="Arial" w:hAnsi="Arial" w:cs="Arial"/>
        </w:rPr>
        <w:t xml:space="preserve"> des Jahres 2021</w:t>
      </w:r>
      <w:bookmarkStart w:id="0" w:name="_GoBack"/>
      <w:bookmarkEnd w:id="0"/>
      <w:r w:rsidR="004A02A5" w:rsidRPr="00C91D33">
        <w:rPr>
          <w:rFonts w:ascii="Arial" w:hAnsi="Arial" w:cs="Arial"/>
        </w:rPr>
        <w:t xml:space="preserve"> einzulegen. </w:t>
      </w:r>
    </w:p>
    <w:p w14:paraId="60CE652C" w14:textId="77777777" w:rsidR="004A02A5" w:rsidRPr="00C91D33" w:rsidRDefault="004A02A5" w:rsidP="004A02A5">
      <w:pPr>
        <w:pStyle w:val="StandardWeb"/>
        <w:spacing w:line="276" w:lineRule="auto"/>
        <w:rPr>
          <w:rFonts w:ascii="Arial" w:hAnsi="Arial" w:cs="Arial"/>
        </w:rPr>
      </w:pPr>
      <w:r w:rsidRPr="00C91D33">
        <w:rPr>
          <w:rFonts w:ascii="Arial" w:hAnsi="Arial" w:cs="Arial"/>
        </w:rPr>
        <w:t xml:space="preserve">Ich rege an, über den Widerspruch bis zu </w:t>
      </w:r>
      <w:r>
        <w:rPr>
          <w:rFonts w:ascii="Arial" w:hAnsi="Arial" w:cs="Arial"/>
        </w:rPr>
        <w:t xml:space="preserve">einem Abschluss der noch offenen Verfahren </w:t>
      </w:r>
      <w:r w:rsidRPr="00C91D33">
        <w:rPr>
          <w:rFonts w:ascii="Arial" w:hAnsi="Arial" w:cs="Arial"/>
        </w:rPr>
        <w:t xml:space="preserve">ruhen zu lassen. </w:t>
      </w:r>
    </w:p>
    <w:p w14:paraId="690C24D8" w14:textId="77777777" w:rsidR="004A02A5" w:rsidRPr="00C91D33" w:rsidRDefault="004A02A5" w:rsidP="004A02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>Ich bitte, den Eingang des Widerspruchs schriftlich zu bestätigen.</w:t>
      </w:r>
    </w:p>
    <w:p w14:paraId="11EE66D6" w14:textId="77777777" w:rsidR="004A02A5" w:rsidRPr="00C91D33" w:rsidRDefault="004A02A5" w:rsidP="004A02A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EBD698" w14:textId="77777777" w:rsidR="004A02A5" w:rsidRPr="00C91D33" w:rsidRDefault="004A02A5" w:rsidP="004A02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1D33">
        <w:rPr>
          <w:rFonts w:ascii="Arial" w:hAnsi="Arial" w:cs="Arial"/>
          <w:sz w:val="24"/>
          <w:szCs w:val="24"/>
        </w:rPr>
        <w:t>Mit freundlichen Grüßen</w:t>
      </w:r>
    </w:p>
    <w:p w14:paraId="4F943732" w14:textId="77777777" w:rsidR="004A02A5" w:rsidRPr="00C91D33" w:rsidRDefault="004A02A5" w:rsidP="004A02A5">
      <w:pPr>
        <w:spacing w:line="276" w:lineRule="auto"/>
        <w:jc w:val="both"/>
        <w:rPr>
          <w:rFonts w:ascii="Arial" w:hAnsi="Arial" w:cs="Arial"/>
        </w:rPr>
      </w:pPr>
    </w:p>
    <w:sectPr w:rsidR="004A02A5" w:rsidRPr="00C91D33">
      <w:headerReference w:type="default" r:id="rId7"/>
      <w:footerReference w:type="first" r:id="rId8"/>
      <w:pgSz w:w="11906" w:h="16838"/>
      <w:pgMar w:top="1418" w:right="567" w:bottom="1134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56C86" w14:textId="77777777" w:rsidR="0092782D" w:rsidRDefault="0092782D">
      <w:r>
        <w:separator/>
      </w:r>
    </w:p>
  </w:endnote>
  <w:endnote w:type="continuationSeparator" w:id="0">
    <w:p w14:paraId="5C2FA9EF" w14:textId="77777777" w:rsidR="0092782D" w:rsidRDefault="009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375E3" w14:textId="77777777" w:rsidR="00575995" w:rsidRDefault="00575995">
    <w:pPr>
      <w:pStyle w:val="Fuzeile"/>
      <w:jc w:val="right"/>
    </w:pPr>
    <w:r>
      <w:rPr>
        <w:rFonts w:ascii="Arial" w:hAnsi="Arial" w:cs="Arial"/>
        <w:sz w:val="22"/>
        <w:szCs w:val="22"/>
        <w:lang w:eastAsia="de-DE"/>
      </w:rPr>
      <w:t>- 2 -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B5FB8" w14:textId="77777777" w:rsidR="0092782D" w:rsidRDefault="0092782D">
      <w:r>
        <w:separator/>
      </w:r>
    </w:p>
  </w:footnote>
  <w:footnote w:type="continuationSeparator" w:id="0">
    <w:p w14:paraId="456E2BF4" w14:textId="77777777" w:rsidR="0092782D" w:rsidRDefault="0092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E2503" w14:textId="77777777" w:rsidR="00575995" w:rsidRPr="00C91D33" w:rsidRDefault="00575995">
    <w:pPr>
      <w:pStyle w:val="Kopfzeile"/>
      <w:jc w:val="center"/>
      <w:rPr>
        <w:rFonts w:ascii="Arial" w:hAnsi="Arial" w:cs="Arial"/>
        <w:sz w:val="24"/>
        <w:szCs w:val="24"/>
      </w:rPr>
    </w:pPr>
    <w:r w:rsidRPr="00C91D33">
      <w:rPr>
        <w:rStyle w:val="Seitenzahl"/>
        <w:rFonts w:ascii="Arial" w:hAnsi="Arial" w:cs="Arial"/>
        <w:sz w:val="24"/>
        <w:szCs w:val="24"/>
      </w:rPr>
      <w:fldChar w:fldCharType="begin"/>
    </w:r>
    <w:r w:rsidRPr="00C91D33">
      <w:rPr>
        <w:rStyle w:val="Seitenzahl"/>
        <w:rFonts w:ascii="Arial" w:hAnsi="Arial" w:cs="Arial"/>
        <w:sz w:val="24"/>
        <w:szCs w:val="24"/>
      </w:rPr>
      <w:instrText xml:space="preserve"> PAGE </w:instrText>
    </w:r>
    <w:r w:rsidRPr="00C91D33">
      <w:rPr>
        <w:rStyle w:val="Seitenzahl"/>
        <w:rFonts w:ascii="Arial" w:hAnsi="Arial" w:cs="Arial"/>
        <w:sz w:val="24"/>
        <w:szCs w:val="24"/>
      </w:rPr>
      <w:fldChar w:fldCharType="separate"/>
    </w:r>
    <w:r w:rsidR="00B62906">
      <w:rPr>
        <w:rStyle w:val="Seitenzahl"/>
        <w:rFonts w:ascii="Arial" w:hAnsi="Arial" w:cs="Arial"/>
        <w:noProof/>
        <w:sz w:val="24"/>
        <w:szCs w:val="24"/>
      </w:rPr>
      <w:t>2</w:t>
    </w:r>
    <w:r w:rsidRPr="00C91D33">
      <w:rPr>
        <w:rStyle w:val="Seitenzahl"/>
        <w:rFonts w:ascii="Arial" w:hAnsi="Arial" w:cs="Arial"/>
        <w:sz w:val="24"/>
        <w:szCs w:val="24"/>
      </w:rPr>
      <w:fldChar w:fldCharType="end"/>
    </w:r>
  </w:p>
  <w:p w14:paraId="430ECDBD" w14:textId="77777777" w:rsidR="00575995" w:rsidRDefault="005759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4BCD1F4-5632-4434-A7F4-7B69ED873B8E}"/>
    <w:docVar w:name="dgnword-eventsink" w:val="89473360"/>
  </w:docVars>
  <w:rsids>
    <w:rsidRoot w:val="004048B0"/>
    <w:rsid w:val="00080F0F"/>
    <w:rsid w:val="000D559A"/>
    <w:rsid w:val="00122C8B"/>
    <w:rsid w:val="00130339"/>
    <w:rsid w:val="00200985"/>
    <w:rsid w:val="004048B0"/>
    <w:rsid w:val="0047277D"/>
    <w:rsid w:val="00484CC8"/>
    <w:rsid w:val="004A02A5"/>
    <w:rsid w:val="00527EB7"/>
    <w:rsid w:val="005377E4"/>
    <w:rsid w:val="0057532B"/>
    <w:rsid w:val="00575995"/>
    <w:rsid w:val="00613357"/>
    <w:rsid w:val="006272F7"/>
    <w:rsid w:val="00644F4D"/>
    <w:rsid w:val="00682E13"/>
    <w:rsid w:val="00685BA9"/>
    <w:rsid w:val="006C053F"/>
    <w:rsid w:val="006F5F37"/>
    <w:rsid w:val="007169B6"/>
    <w:rsid w:val="0075079F"/>
    <w:rsid w:val="00776968"/>
    <w:rsid w:val="007B30CA"/>
    <w:rsid w:val="007C4239"/>
    <w:rsid w:val="007E7E4D"/>
    <w:rsid w:val="00840C22"/>
    <w:rsid w:val="00876026"/>
    <w:rsid w:val="009012B3"/>
    <w:rsid w:val="00905C5F"/>
    <w:rsid w:val="009143E5"/>
    <w:rsid w:val="0092782D"/>
    <w:rsid w:val="00976D6B"/>
    <w:rsid w:val="00A52644"/>
    <w:rsid w:val="00A7265D"/>
    <w:rsid w:val="00AD6E18"/>
    <w:rsid w:val="00AF531D"/>
    <w:rsid w:val="00B063C5"/>
    <w:rsid w:val="00B62906"/>
    <w:rsid w:val="00B77574"/>
    <w:rsid w:val="00C20B1F"/>
    <w:rsid w:val="00C3290B"/>
    <w:rsid w:val="00C91D33"/>
    <w:rsid w:val="00CD7179"/>
    <w:rsid w:val="00D168BC"/>
    <w:rsid w:val="00D1767E"/>
    <w:rsid w:val="00E94E9E"/>
    <w:rsid w:val="00E96E68"/>
    <w:rsid w:val="00ED4F77"/>
    <w:rsid w:val="00F4778F"/>
    <w:rsid w:val="00F767D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631A2"/>
  <w15:chartTrackingRefBased/>
  <w15:docId w15:val="{36FF63E1-A4E6-4F30-ABC5-45C84470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</w:pPr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autoSpaceDE/>
      <w:outlineLvl w:val="0"/>
    </w:pPr>
    <w:rPr>
      <w:rFonts w:ascii="Arial" w:hAnsi="Arial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erschrift2Zchn">
    <w:name w:val="Überschrift 2 Zchn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fzeileZchn">
    <w:name w:val="Kopfzeile Zchn"/>
    <w:rPr>
      <w:rFonts w:cs="Times New Roman"/>
      <w:sz w:val="20"/>
      <w:szCs w:val="20"/>
    </w:rPr>
  </w:style>
  <w:style w:type="character" w:styleId="Seitenzahl">
    <w:name w:val="page number"/>
    <w:rPr>
      <w:rFonts w:cs="Times New Roman"/>
    </w:rPr>
  </w:style>
  <w:style w:type="character" w:customStyle="1" w:styleId="FuzeileZchn">
    <w:name w:val="Fußzeile Zchn"/>
    <w:rPr>
      <w:rFonts w:cs="Times New Roman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autoSpaceDE/>
      <w:spacing w:before="280" w:after="280"/>
    </w:pPr>
    <w:rPr>
      <w:sz w:val="24"/>
      <w:szCs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pfzeilelinks">
    <w:name w:val="Kopfzeile links"/>
    <w:basedOn w:val="Standard"/>
    <w:pPr>
      <w:suppressLineNumbers/>
      <w:tabs>
        <w:tab w:val="center" w:pos="5046"/>
        <w:tab w:val="right" w:pos="1009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Justiz Land NRW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J001833</dc:creator>
  <cp:keywords/>
  <cp:lastModifiedBy>Windows-Benutzer</cp:lastModifiedBy>
  <cp:revision>2</cp:revision>
  <cp:lastPrinted>2021-12-03T09:38:00Z</cp:lastPrinted>
  <dcterms:created xsi:type="dcterms:W3CDTF">2021-12-08T05:58:00Z</dcterms:created>
  <dcterms:modified xsi:type="dcterms:W3CDTF">2021-12-08T05:58:00Z</dcterms:modified>
</cp:coreProperties>
</file>